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4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4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83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8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124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  <w:bookmarkStart w:id="0" w:name="_GoBack"/>
            <w:bookmarkEnd w:id="0"/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124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124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 w:firstLine="3755" w:firstLineChars="850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15757B"/>
    <w:rsid w:val="3B2D16C0"/>
    <w:rsid w:val="3B636DE9"/>
    <w:rsid w:val="3CF47AC1"/>
    <w:rsid w:val="3D3E5D13"/>
    <w:rsid w:val="3E5F71BC"/>
    <w:rsid w:val="3F46788A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2024-02-01T08:41:55Z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8D77E0BFAA454C6BB32217BA022860BD</vt:lpwstr>
  </property>
</Properties>
</file>